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A06B" w14:textId="300FCF13" w:rsidR="00C265F3" w:rsidRDefault="00C265F3" w:rsidP="00C265F3">
      <w:pPr>
        <w:widowControl w:val="0"/>
        <w:pBdr>
          <w:top w:val="double" w:sz="6" w:space="3" w:color="auto"/>
        </w:pBdr>
        <w:spacing w:after="0" w:line="240" w:lineRule="auto"/>
        <w:jc w:val="center"/>
        <w:rPr>
          <w:b/>
          <w:lang w:val="fr-FR"/>
        </w:rPr>
      </w:pPr>
      <w:bookmarkStart w:id="0" w:name="_Hlk108777740"/>
      <w:r w:rsidRPr="002A106B">
        <w:rPr>
          <w:b/>
          <w:lang w:val="fr-FR"/>
        </w:rPr>
        <w:t xml:space="preserve">AVIS AUX </w:t>
      </w:r>
      <w:r>
        <w:rPr>
          <w:b/>
          <w:lang w:val="fr-FR"/>
        </w:rPr>
        <w:t xml:space="preserve">PORTEURS DE PARTS </w:t>
      </w:r>
      <w:r w:rsidR="00643C9E">
        <w:rPr>
          <w:b/>
          <w:lang w:val="fr-FR"/>
        </w:rPr>
        <w:t>D</w:t>
      </w:r>
      <w:r w:rsidR="00643C9E">
        <w:rPr>
          <w:b/>
          <w:lang w:val="fr-FR"/>
        </w:rPr>
        <w:t>ES</w:t>
      </w:r>
      <w:r w:rsidR="00643C9E">
        <w:rPr>
          <w:b/>
          <w:lang w:val="fr-FR"/>
        </w:rPr>
        <w:t xml:space="preserve"> </w:t>
      </w:r>
      <w:r>
        <w:rPr>
          <w:b/>
          <w:lang w:val="fr-FR"/>
        </w:rPr>
        <w:t xml:space="preserve">FONDS </w:t>
      </w:r>
    </w:p>
    <w:p w14:paraId="6797EE2D" w14:textId="77777777" w:rsidR="00C265F3" w:rsidRDefault="00C265F3" w:rsidP="00C265F3">
      <w:pPr>
        <w:widowControl w:val="0"/>
        <w:pBdr>
          <w:top w:val="double" w:sz="6" w:space="3" w:color="auto"/>
        </w:pBdr>
        <w:spacing w:after="0" w:line="240" w:lineRule="auto"/>
        <w:jc w:val="center"/>
        <w:rPr>
          <w:b/>
          <w:lang w:val="fr-FR"/>
        </w:rPr>
      </w:pPr>
    </w:p>
    <w:p w14:paraId="4A993539" w14:textId="0FAD7347" w:rsidR="00C265F3" w:rsidRDefault="00233CA6" w:rsidP="00C265F3">
      <w:pPr>
        <w:widowControl w:val="0"/>
        <w:pBdr>
          <w:top w:val="double" w:sz="6" w:space="3" w:color="auto"/>
        </w:pBdr>
        <w:spacing w:after="0" w:line="240" w:lineRule="auto"/>
        <w:jc w:val="center"/>
        <w:rPr>
          <w:b/>
          <w:lang w:val="en-US"/>
        </w:rPr>
      </w:pPr>
      <w:r w:rsidRPr="00233CA6">
        <w:rPr>
          <w:b/>
          <w:lang w:val="en-US"/>
        </w:rPr>
        <w:t xml:space="preserve">AXA BELGIUM STRUCTURED FINANCE I </w:t>
      </w:r>
      <w:r w:rsidR="00C265F3" w:rsidRPr="00443B47">
        <w:rPr>
          <w:b/>
          <w:lang w:val="en-US"/>
        </w:rPr>
        <w:t>(</w:t>
      </w:r>
      <w:r w:rsidRPr="00233CA6">
        <w:rPr>
          <w:b/>
          <w:lang w:val="en-US"/>
        </w:rPr>
        <w:t>FR0010294934</w:t>
      </w:r>
      <w:r w:rsidR="00C265F3" w:rsidRPr="00443B47">
        <w:rPr>
          <w:b/>
          <w:lang w:val="en-US"/>
        </w:rPr>
        <w:t>)</w:t>
      </w:r>
    </w:p>
    <w:p w14:paraId="4F214F85" w14:textId="38C53966" w:rsidR="00CF6237" w:rsidRPr="00592275" w:rsidRDefault="00CF6237" w:rsidP="00C265F3">
      <w:pPr>
        <w:widowControl w:val="0"/>
        <w:pBdr>
          <w:top w:val="double" w:sz="6" w:space="3" w:color="auto"/>
        </w:pBdr>
        <w:spacing w:after="0" w:line="240" w:lineRule="auto"/>
        <w:jc w:val="center"/>
        <w:rPr>
          <w:b/>
          <w:lang w:val="en-US"/>
        </w:rPr>
      </w:pPr>
      <w:r w:rsidRPr="001B3B14">
        <w:rPr>
          <w:b/>
          <w:lang w:val="en-US"/>
        </w:rPr>
        <w:t xml:space="preserve">AXA BELGIUM STRUCTURED </w:t>
      </w:r>
      <w:r w:rsidRPr="00CF6237">
        <w:rPr>
          <w:b/>
          <w:lang w:val="en-US"/>
        </w:rPr>
        <w:t>FINANCE II (</w:t>
      </w:r>
      <w:r w:rsidRPr="00A46041">
        <w:rPr>
          <w:b/>
          <w:lang w:val="en-US"/>
        </w:rPr>
        <w:t>FR0010524421)</w:t>
      </w:r>
    </w:p>
    <w:p w14:paraId="729BB5BA" w14:textId="77777777" w:rsidR="00C265F3" w:rsidRDefault="00C265F3" w:rsidP="00C265F3">
      <w:pPr>
        <w:widowControl w:val="0"/>
        <w:pBdr>
          <w:top w:val="double" w:sz="6" w:space="3" w:color="auto"/>
        </w:pBdr>
        <w:spacing w:after="0" w:line="240" w:lineRule="auto"/>
        <w:jc w:val="center"/>
        <w:rPr>
          <w:b/>
          <w:lang w:val="it-IT"/>
        </w:rPr>
      </w:pPr>
    </w:p>
    <w:p w14:paraId="5A97A198" w14:textId="584687D5" w:rsidR="00C265F3" w:rsidRDefault="00C265F3" w:rsidP="00C265F3">
      <w:pPr>
        <w:widowControl w:val="0"/>
        <w:pBdr>
          <w:top w:val="double" w:sz="6" w:space="3" w:color="auto"/>
        </w:pBdr>
        <w:spacing w:after="0" w:line="240" w:lineRule="auto"/>
        <w:jc w:val="center"/>
        <w:rPr>
          <w:b/>
          <w:lang w:val="fr-FR"/>
        </w:rPr>
      </w:pPr>
      <w:proofErr w:type="spellStart"/>
      <w:r w:rsidRPr="002A106B">
        <w:rPr>
          <w:b/>
          <w:lang w:val="fr-FR"/>
        </w:rPr>
        <w:t>OPC</w:t>
      </w:r>
      <w:r>
        <w:rPr>
          <w:b/>
          <w:lang w:val="fr-FR"/>
        </w:rPr>
        <w:t>VM</w:t>
      </w:r>
      <w:r w:rsidR="00643C9E">
        <w:rPr>
          <w:b/>
          <w:lang w:val="fr-FR"/>
        </w:rPr>
        <w:t>s</w:t>
      </w:r>
      <w:proofErr w:type="spellEnd"/>
      <w:r w:rsidRPr="002A106B">
        <w:rPr>
          <w:b/>
          <w:lang w:val="fr-FR"/>
        </w:rPr>
        <w:t xml:space="preserve"> DE DROIT FRANÇAIS </w:t>
      </w:r>
    </w:p>
    <w:p w14:paraId="061F3C55" w14:textId="77777777" w:rsidR="00C265F3" w:rsidRDefault="00C265F3" w:rsidP="00C265F3">
      <w:pPr>
        <w:widowControl w:val="0"/>
        <w:pBdr>
          <w:top w:val="double" w:sz="6" w:space="3" w:color="auto"/>
        </w:pBdr>
        <w:spacing w:after="0" w:line="240" w:lineRule="auto"/>
        <w:jc w:val="center"/>
        <w:rPr>
          <w:b/>
          <w:lang w:val="fr-FR"/>
        </w:rPr>
      </w:pPr>
    </w:p>
    <w:p w14:paraId="775A42DF" w14:textId="3E551A82" w:rsidR="00C265F3" w:rsidRDefault="00C265F3" w:rsidP="00C265F3">
      <w:pPr>
        <w:widowControl w:val="0"/>
        <w:pBdr>
          <w:top w:val="double" w:sz="6" w:space="3" w:color="auto"/>
        </w:pBdr>
        <w:spacing w:after="0" w:line="240" w:lineRule="auto"/>
        <w:jc w:val="center"/>
        <w:rPr>
          <w:b/>
          <w:lang w:val="fr-FR"/>
        </w:rPr>
      </w:pPr>
      <w:r>
        <w:rPr>
          <w:b/>
          <w:lang w:val="fr-FR"/>
        </w:rPr>
        <w:t>(Ci-</w:t>
      </w:r>
      <w:r w:rsidR="00F36BC7">
        <w:rPr>
          <w:b/>
          <w:lang w:val="fr-FR"/>
        </w:rPr>
        <w:t>a</w:t>
      </w:r>
      <w:r w:rsidR="00F36BC7">
        <w:rPr>
          <w:b/>
          <w:lang w:val="fr-FR"/>
        </w:rPr>
        <w:t xml:space="preserve">près </w:t>
      </w:r>
      <w:r w:rsidR="00A46041">
        <w:rPr>
          <w:b/>
          <w:lang w:val="fr-FR"/>
        </w:rPr>
        <w:t>les «</w:t>
      </w:r>
      <w:r>
        <w:rPr>
          <w:b/>
          <w:lang w:val="fr-FR"/>
        </w:rPr>
        <w:t> </w:t>
      </w:r>
      <w:proofErr w:type="spellStart"/>
      <w:r>
        <w:rPr>
          <w:b/>
          <w:lang w:val="fr-FR"/>
        </w:rPr>
        <w:t>OPCVM</w:t>
      </w:r>
      <w:r w:rsidR="00F36BC7">
        <w:rPr>
          <w:b/>
          <w:lang w:val="fr-FR"/>
        </w:rPr>
        <w:t>s</w:t>
      </w:r>
      <w:proofErr w:type="spellEnd"/>
      <w:r>
        <w:rPr>
          <w:b/>
          <w:lang w:val="fr-FR"/>
        </w:rPr>
        <w:t> »)</w:t>
      </w:r>
    </w:p>
    <w:p w14:paraId="5CC4557A" w14:textId="77777777" w:rsidR="00C265F3" w:rsidRPr="002A106B" w:rsidRDefault="00C265F3" w:rsidP="00C265F3">
      <w:pPr>
        <w:widowControl w:val="0"/>
        <w:tabs>
          <w:tab w:val="left" w:pos="-1440"/>
          <w:tab w:val="left" w:pos="-720"/>
          <w:tab w:val="left" w:pos="0"/>
          <w:tab w:val="left" w:pos="4253"/>
        </w:tabs>
        <w:spacing w:after="0" w:line="240" w:lineRule="auto"/>
        <w:ind w:left="335"/>
        <w:jc w:val="center"/>
        <w:rPr>
          <w:rFonts w:ascii="Arial" w:hAnsi="Arial" w:cs="Arial"/>
          <w:b/>
          <w:color w:val="000000"/>
          <w:spacing w:val="-2"/>
          <w:sz w:val="18"/>
          <w:szCs w:val="18"/>
          <w:lang w:val="fr-FR"/>
        </w:rPr>
      </w:pPr>
    </w:p>
    <w:p w14:paraId="73101BE2" w14:textId="77777777" w:rsidR="00C265F3" w:rsidRPr="002A106B" w:rsidRDefault="00C265F3" w:rsidP="00C265F3">
      <w:pPr>
        <w:widowControl w:val="0"/>
        <w:pBdr>
          <w:top w:val="double" w:sz="6" w:space="3" w:color="auto"/>
        </w:pBd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fr-FR"/>
        </w:rPr>
      </w:pPr>
      <w:r w:rsidRPr="002A106B">
        <w:rPr>
          <w:rFonts w:ascii="Arial" w:hAnsi="Arial" w:cs="Arial"/>
          <w:b/>
          <w:sz w:val="18"/>
          <w:szCs w:val="18"/>
          <w:lang w:val="fr-FR"/>
        </w:rPr>
        <w:tab/>
      </w:r>
      <w:r w:rsidRPr="002A106B">
        <w:rPr>
          <w:rFonts w:ascii="Arial" w:hAnsi="Arial" w:cs="Arial"/>
          <w:b/>
          <w:sz w:val="18"/>
          <w:szCs w:val="18"/>
          <w:lang w:val="fr-FR"/>
        </w:rPr>
        <w:tab/>
      </w:r>
      <w:r w:rsidRPr="002A106B">
        <w:rPr>
          <w:rFonts w:ascii="Arial" w:hAnsi="Arial" w:cs="Arial"/>
          <w:b/>
          <w:sz w:val="18"/>
          <w:szCs w:val="18"/>
          <w:lang w:val="fr-FR"/>
        </w:rPr>
        <w:tab/>
      </w:r>
    </w:p>
    <w:p w14:paraId="4C0AA2E3" w14:textId="6262D8C4" w:rsidR="00C265F3" w:rsidRPr="00E11E50" w:rsidRDefault="00C265F3" w:rsidP="00793B1E">
      <w:pPr>
        <w:widowControl w:val="0"/>
        <w:pBdr>
          <w:top w:val="double" w:sz="6" w:space="3" w:color="auto"/>
        </w:pBdr>
        <w:spacing w:after="0" w:line="240" w:lineRule="auto"/>
        <w:ind w:firstLine="708"/>
        <w:jc w:val="right"/>
        <w:rPr>
          <w:rFonts w:asciiTheme="minorHAnsi" w:hAnsiTheme="minorHAnsi" w:cstheme="minorHAnsi"/>
          <w:lang w:val="fr-FR"/>
        </w:rPr>
      </w:pPr>
      <w:r w:rsidRPr="00E11E50">
        <w:rPr>
          <w:rFonts w:asciiTheme="minorHAnsi" w:hAnsiTheme="minorHAnsi" w:cstheme="minorHAnsi"/>
          <w:lang w:val="fr-FR"/>
        </w:rPr>
        <w:t xml:space="preserve">                                                                                                 Paris – La Défense, le </w:t>
      </w:r>
      <w:r w:rsidR="00087644">
        <w:rPr>
          <w:rFonts w:asciiTheme="minorHAnsi" w:hAnsiTheme="minorHAnsi" w:cstheme="minorHAnsi"/>
          <w:lang w:val="fr-FR"/>
        </w:rPr>
        <w:t>20</w:t>
      </w:r>
      <w:r w:rsidR="00087644" w:rsidRPr="00E11E50">
        <w:rPr>
          <w:rFonts w:asciiTheme="minorHAnsi" w:hAnsiTheme="minorHAnsi" w:cstheme="minorHAnsi"/>
          <w:lang w:val="fr-FR"/>
        </w:rPr>
        <w:t xml:space="preserve"> </w:t>
      </w:r>
      <w:r w:rsidR="00643C9E" w:rsidRPr="00E11E50">
        <w:rPr>
          <w:rFonts w:asciiTheme="minorHAnsi" w:hAnsiTheme="minorHAnsi" w:cstheme="minorHAnsi"/>
          <w:lang w:val="fr-FR"/>
        </w:rPr>
        <w:t>novembre</w:t>
      </w:r>
      <w:r w:rsidR="00793B1E" w:rsidRPr="00E11E50">
        <w:rPr>
          <w:rFonts w:asciiTheme="minorHAnsi" w:hAnsiTheme="minorHAnsi" w:cstheme="minorHAnsi"/>
          <w:lang w:val="fr-FR"/>
        </w:rPr>
        <w:t xml:space="preserve"> 2024</w:t>
      </w:r>
    </w:p>
    <w:p w14:paraId="4F17CCFC" w14:textId="77777777" w:rsidR="00C265F3" w:rsidRPr="002A106B" w:rsidRDefault="00C265F3" w:rsidP="00C265F3">
      <w:pPr>
        <w:widowControl w:val="0"/>
        <w:pBdr>
          <w:top w:val="double" w:sz="6" w:space="3" w:color="auto"/>
        </w:pBdr>
        <w:spacing w:after="0" w:line="240" w:lineRule="auto"/>
        <w:rPr>
          <w:rFonts w:ascii="Arial" w:hAnsi="Arial" w:cs="Arial"/>
          <w:sz w:val="18"/>
          <w:szCs w:val="18"/>
          <w:lang w:val="fr-FR"/>
        </w:rPr>
      </w:pPr>
    </w:p>
    <w:p w14:paraId="5F1FB650" w14:textId="77777777" w:rsidR="00C265F3" w:rsidRPr="00E11E50" w:rsidRDefault="00C265F3" w:rsidP="00C265F3">
      <w:pPr>
        <w:widowControl w:val="0"/>
        <w:spacing w:after="0" w:line="240" w:lineRule="auto"/>
        <w:jc w:val="both"/>
        <w:rPr>
          <w:rFonts w:ascii="Times New Roman" w:hAnsi="Times New Roman"/>
          <w:bCs/>
          <w:iCs/>
          <w:lang w:val="fr-FR"/>
        </w:rPr>
      </w:pPr>
      <w:r w:rsidRPr="00E11E50">
        <w:rPr>
          <w:bCs/>
          <w:iCs/>
          <w:lang w:val="fr-FR"/>
        </w:rPr>
        <w:t>Madame, Monsieur, Chers Clients,</w:t>
      </w:r>
    </w:p>
    <w:p w14:paraId="5EA201F0" w14:textId="77777777" w:rsidR="00C265F3" w:rsidRPr="00455CBF" w:rsidRDefault="00C265F3" w:rsidP="00C265F3">
      <w:pPr>
        <w:widowControl w:val="0"/>
        <w:spacing w:after="0" w:line="240" w:lineRule="auto"/>
        <w:jc w:val="both"/>
        <w:rPr>
          <w:iCs/>
          <w:lang w:val="fr-FR"/>
        </w:rPr>
      </w:pPr>
    </w:p>
    <w:p w14:paraId="08313D17" w14:textId="0522C0C8" w:rsidR="00C265F3" w:rsidRDefault="00C265F3" w:rsidP="00C265F3">
      <w:pPr>
        <w:widowControl w:val="0"/>
        <w:spacing w:after="0" w:line="240" w:lineRule="auto"/>
        <w:jc w:val="both"/>
        <w:rPr>
          <w:lang w:val="fr-FR"/>
        </w:rPr>
      </w:pPr>
      <w:r w:rsidRPr="00455CBF">
        <w:rPr>
          <w:lang w:val="fr-FR"/>
        </w:rPr>
        <w:t xml:space="preserve">Nous vous remercions de la confiance que vous accordez à notre gestion et sommes heureux de vous </w:t>
      </w:r>
      <w:r>
        <w:rPr>
          <w:lang w:val="fr-FR"/>
        </w:rPr>
        <w:t>compter parmi les porteurs de parts de</w:t>
      </w:r>
      <w:r w:rsidR="00CF6237">
        <w:rPr>
          <w:lang w:val="fr-FR"/>
        </w:rPr>
        <w:t>s</w:t>
      </w:r>
      <w:r w:rsidR="00643C9E">
        <w:rPr>
          <w:lang w:val="fr-FR"/>
        </w:rPr>
        <w:t xml:space="preserve"> </w:t>
      </w:r>
      <w:proofErr w:type="spellStart"/>
      <w:r>
        <w:rPr>
          <w:lang w:val="fr-FR"/>
        </w:rPr>
        <w:t>OPCVM</w:t>
      </w:r>
      <w:r w:rsidR="00CF6237">
        <w:rPr>
          <w:lang w:val="fr-FR"/>
        </w:rPr>
        <w:t>s</w:t>
      </w:r>
      <w:proofErr w:type="spellEnd"/>
      <w:r>
        <w:rPr>
          <w:lang w:val="fr-FR"/>
        </w:rPr>
        <w:t xml:space="preserve"> </w:t>
      </w:r>
      <w:r w:rsidR="00793B1E" w:rsidRPr="00793B1E">
        <w:rPr>
          <w:bCs/>
          <w:lang w:val="fr-FR"/>
        </w:rPr>
        <w:t>AXA BELGIUM STRUCTURED FINANCE I</w:t>
      </w:r>
      <w:r w:rsidR="00CF6237">
        <w:rPr>
          <w:bCs/>
          <w:lang w:val="fr-FR"/>
        </w:rPr>
        <w:t xml:space="preserve"> et</w:t>
      </w:r>
      <w:r w:rsidR="00CF6237" w:rsidRPr="00CF6237">
        <w:rPr>
          <w:bCs/>
          <w:lang w:val="fr-FR"/>
        </w:rPr>
        <w:t xml:space="preserve"> </w:t>
      </w:r>
      <w:r w:rsidR="00CF6237" w:rsidRPr="00793B1E">
        <w:rPr>
          <w:bCs/>
          <w:lang w:val="fr-FR"/>
        </w:rPr>
        <w:t>AXA BELGIUM STRUCTURED FINANCE I</w:t>
      </w:r>
      <w:r w:rsidR="00CF6237">
        <w:rPr>
          <w:bCs/>
          <w:lang w:val="fr-FR"/>
        </w:rPr>
        <w:t>I</w:t>
      </w:r>
      <w:r w:rsidRPr="00793B1E">
        <w:rPr>
          <w:bCs/>
          <w:lang w:val="fr-FR"/>
        </w:rPr>
        <w:t>.</w:t>
      </w:r>
    </w:p>
    <w:p w14:paraId="64015A38" w14:textId="77777777" w:rsidR="00C265F3" w:rsidRDefault="00C265F3" w:rsidP="00C265F3">
      <w:pPr>
        <w:widowControl w:val="0"/>
        <w:spacing w:after="0" w:line="240" w:lineRule="auto"/>
        <w:jc w:val="both"/>
        <w:rPr>
          <w:lang w:val="fr-FR"/>
        </w:rPr>
      </w:pPr>
    </w:p>
    <w:p w14:paraId="22EEFF65" w14:textId="55C6F229" w:rsidR="00C265F3" w:rsidRPr="003164BC" w:rsidRDefault="00C265F3" w:rsidP="00C265F3">
      <w:pPr>
        <w:widowControl w:val="0"/>
        <w:spacing w:after="0" w:line="240" w:lineRule="auto"/>
        <w:jc w:val="both"/>
        <w:rPr>
          <w:iCs/>
          <w:lang w:val="fr-FR"/>
        </w:rPr>
      </w:pPr>
      <w:r>
        <w:rPr>
          <w:bCs/>
          <w:iCs/>
          <w:lang w:val="fr-FR"/>
        </w:rPr>
        <w:t xml:space="preserve">Nous </w:t>
      </w:r>
      <w:r w:rsidRPr="009A061B">
        <w:rPr>
          <w:bCs/>
          <w:iCs/>
          <w:lang w:val="fr-FR"/>
        </w:rPr>
        <w:t xml:space="preserve">vous informons </w:t>
      </w:r>
      <w:r>
        <w:rPr>
          <w:bCs/>
          <w:iCs/>
          <w:lang w:val="fr-FR"/>
        </w:rPr>
        <w:t>qu’</w:t>
      </w:r>
      <w:r w:rsidR="00643C9E">
        <w:rPr>
          <w:bCs/>
          <w:iCs/>
          <w:lang w:val="fr-FR"/>
        </w:rPr>
        <w:t xml:space="preserve">à compter </w:t>
      </w:r>
      <w:r w:rsidR="00643C9E" w:rsidRPr="00643C9E">
        <w:rPr>
          <w:bCs/>
          <w:iCs/>
          <w:lang w:val="fr-FR"/>
        </w:rPr>
        <w:t xml:space="preserve">du </w:t>
      </w:r>
      <w:r w:rsidR="00643C9E" w:rsidRPr="00A46041">
        <w:rPr>
          <w:bCs/>
          <w:iCs/>
          <w:lang w:val="fr-FR"/>
        </w:rPr>
        <w:t>25</w:t>
      </w:r>
      <w:r w:rsidR="00643C9E" w:rsidRPr="00A46041">
        <w:rPr>
          <w:bCs/>
          <w:iCs/>
          <w:lang w:val="fr-FR"/>
        </w:rPr>
        <w:t xml:space="preserve"> </w:t>
      </w:r>
      <w:r w:rsidR="00643C9E" w:rsidRPr="00A46041">
        <w:rPr>
          <w:bCs/>
          <w:iCs/>
          <w:lang w:val="fr-FR"/>
        </w:rPr>
        <w:t>novembre</w:t>
      </w:r>
      <w:r w:rsidR="00793B1E" w:rsidRPr="00A46041">
        <w:rPr>
          <w:bCs/>
          <w:iCs/>
          <w:lang w:val="fr-FR"/>
        </w:rPr>
        <w:t xml:space="preserve"> 2024</w:t>
      </w:r>
      <w:r w:rsidRPr="00643C9E">
        <w:rPr>
          <w:bCs/>
          <w:iCs/>
          <w:lang w:val="fr-FR"/>
        </w:rPr>
        <w:t xml:space="preserve"> (date</w:t>
      </w:r>
      <w:r w:rsidRPr="009A061B">
        <w:rPr>
          <w:bCs/>
          <w:iCs/>
          <w:lang w:val="fr-FR"/>
        </w:rPr>
        <w:t xml:space="preserve"> de prise d’effet), le</w:t>
      </w:r>
      <w:r w:rsidR="00CF6237">
        <w:rPr>
          <w:bCs/>
          <w:iCs/>
          <w:lang w:val="fr-FR"/>
        </w:rPr>
        <w:t>s</w:t>
      </w:r>
      <w:r w:rsidRPr="009A061B">
        <w:rPr>
          <w:bCs/>
          <w:iCs/>
          <w:lang w:val="fr-FR"/>
        </w:rPr>
        <w:t xml:space="preserve"> prospectus </w:t>
      </w:r>
      <w:r>
        <w:rPr>
          <w:bCs/>
          <w:iCs/>
          <w:lang w:val="fr-FR"/>
        </w:rPr>
        <w:t>ainsi que le</w:t>
      </w:r>
      <w:r w:rsidR="00CF6237">
        <w:rPr>
          <w:bCs/>
          <w:iCs/>
          <w:lang w:val="fr-FR"/>
        </w:rPr>
        <w:t>s</w:t>
      </w:r>
      <w:r>
        <w:rPr>
          <w:bCs/>
          <w:iCs/>
          <w:lang w:val="fr-FR"/>
        </w:rPr>
        <w:t xml:space="preserve"> DIC </w:t>
      </w:r>
      <w:r w:rsidRPr="009A061B">
        <w:rPr>
          <w:bCs/>
          <w:iCs/>
          <w:lang w:val="fr-FR"/>
        </w:rPr>
        <w:t xml:space="preserve">de </w:t>
      </w:r>
      <w:r w:rsidR="00CF6237">
        <w:rPr>
          <w:bCs/>
          <w:iCs/>
          <w:lang w:val="fr-FR"/>
        </w:rPr>
        <w:t>vos</w:t>
      </w:r>
      <w:r w:rsidR="00CF6237" w:rsidRPr="009A061B">
        <w:rPr>
          <w:bCs/>
          <w:iCs/>
          <w:lang w:val="fr-FR"/>
        </w:rPr>
        <w:t xml:space="preserve"> </w:t>
      </w:r>
      <w:proofErr w:type="spellStart"/>
      <w:r w:rsidRPr="009A061B">
        <w:rPr>
          <w:bCs/>
          <w:iCs/>
          <w:lang w:val="fr-FR"/>
        </w:rPr>
        <w:t>OPC</w:t>
      </w:r>
      <w:r>
        <w:rPr>
          <w:bCs/>
          <w:iCs/>
          <w:lang w:val="fr-FR"/>
        </w:rPr>
        <w:t>VM</w:t>
      </w:r>
      <w:r w:rsidR="00CF6237">
        <w:rPr>
          <w:bCs/>
          <w:iCs/>
          <w:lang w:val="fr-FR"/>
        </w:rPr>
        <w:t>s</w:t>
      </w:r>
      <w:proofErr w:type="spellEnd"/>
      <w:r w:rsidRPr="009A061B">
        <w:rPr>
          <w:bCs/>
          <w:iCs/>
          <w:lang w:val="fr-FR"/>
        </w:rPr>
        <w:t xml:space="preserve"> ser</w:t>
      </w:r>
      <w:r>
        <w:rPr>
          <w:bCs/>
          <w:iCs/>
          <w:lang w:val="fr-FR"/>
        </w:rPr>
        <w:t>ont</w:t>
      </w:r>
      <w:r w:rsidRPr="009A061B">
        <w:rPr>
          <w:bCs/>
          <w:iCs/>
          <w:lang w:val="fr-FR"/>
        </w:rPr>
        <w:t xml:space="preserve"> amendé</w:t>
      </w:r>
      <w:r>
        <w:rPr>
          <w:bCs/>
          <w:iCs/>
          <w:lang w:val="fr-FR"/>
        </w:rPr>
        <w:t>s</w:t>
      </w:r>
      <w:r w:rsidRPr="009A061B">
        <w:rPr>
          <w:bCs/>
          <w:iCs/>
          <w:lang w:val="fr-FR"/>
        </w:rPr>
        <w:t xml:space="preserve"> </w:t>
      </w:r>
      <w:r>
        <w:rPr>
          <w:bCs/>
          <w:iCs/>
          <w:lang w:val="fr-FR"/>
        </w:rPr>
        <w:t>afin de modifier la classification SFDR de</w:t>
      </w:r>
      <w:r w:rsidR="00CF6237">
        <w:rPr>
          <w:bCs/>
          <w:iCs/>
          <w:lang w:val="fr-FR"/>
        </w:rPr>
        <w:t>s</w:t>
      </w:r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OPCVM</w:t>
      </w:r>
      <w:r w:rsidR="00CF6237">
        <w:rPr>
          <w:bCs/>
          <w:iCs/>
          <w:lang w:val="fr-FR"/>
        </w:rPr>
        <w:t>s</w:t>
      </w:r>
      <w:proofErr w:type="spellEnd"/>
      <w:r>
        <w:rPr>
          <w:bCs/>
          <w:iCs/>
          <w:lang w:val="fr-FR"/>
        </w:rPr>
        <w:t xml:space="preserve"> pour qu’il</w:t>
      </w:r>
      <w:r w:rsidR="00CF6237">
        <w:rPr>
          <w:bCs/>
          <w:iCs/>
          <w:lang w:val="fr-FR"/>
        </w:rPr>
        <w:t>s</w:t>
      </w:r>
      <w:r>
        <w:rPr>
          <w:bCs/>
          <w:iCs/>
          <w:lang w:val="fr-FR"/>
        </w:rPr>
        <w:t xml:space="preserve"> relève</w:t>
      </w:r>
      <w:r w:rsidR="00CF6237">
        <w:rPr>
          <w:bCs/>
          <w:iCs/>
          <w:lang w:val="fr-FR"/>
        </w:rPr>
        <w:t>nt</w:t>
      </w:r>
      <w:r>
        <w:rPr>
          <w:bCs/>
          <w:iCs/>
          <w:lang w:val="fr-FR"/>
        </w:rPr>
        <w:t xml:space="preserve"> de l’article 8 du Règlement Européen 2019/2088 du 27 novembre 2019. </w:t>
      </w:r>
    </w:p>
    <w:p w14:paraId="45C8927E" w14:textId="77777777" w:rsidR="00C265F3" w:rsidRPr="009A061B" w:rsidRDefault="00C265F3" w:rsidP="00C265F3">
      <w:pPr>
        <w:widowControl w:val="0"/>
        <w:spacing w:after="0" w:line="240" w:lineRule="auto"/>
        <w:jc w:val="both"/>
        <w:rPr>
          <w:iCs/>
          <w:lang w:val="fr-FR"/>
        </w:rPr>
      </w:pPr>
    </w:p>
    <w:p w14:paraId="3AA8CC95" w14:textId="40A6B025" w:rsidR="00C265F3" w:rsidRPr="009A061B" w:rsidRDefault="00C265F3" w:rsidP="00C265F3">
      <w:pPr>
        <w:widowControl w:val="0"/>
        <w:autoSpaceDE w:val="0"/>
        <w:autoSpaceDN w:val="0"/>
        <w:spacing w:after="0" w:line="240" w:lineRule="auto"/>
        <w:jc w:val="both"/>
        <w:rPr>
          <w:iCs/>
          <w:lang w:val="fr-FR"/>
        </w:rPr>
      </w:pPr>
      <w:r w:rsidRPr="009A061B">
        <w:rPr>
          <w:iCs/>
          <w:lang w:val="fr-FR"/>
        </w:rPr>
        <w:t xml:space="preserve">Ce changement ne modifie pas le profil rendement/risque de ces </w:t>
      </w:r>
      <w:proofErr w:type="spellStart"/>
      <w:r w:rsidRPr="009A061B">
        <w:rPr>
          <w:iCs/>
          <w:lang w:val="fr-FR"/>
        </w:rPr>
        <w:t>OPC</w:t>
      </w:r>
      <w:r>
        <w:rPr>
          <w:iCs/>
          <w:lang w:val="fr-FR"/>
        </w:rPr>
        <w:t>VM</w:t>
      </w:r>
      <w:r w:rsidR="00643C9E">
        <w:rPr>
          <w:iCs/>
          <w:lang w:val="fr-FR"/>
        </w:rPr>
        <w:t>s</w:t>
      </w:r>
      <w:proofErr w:type="spellEnd"/>
      <w:r w:rsidRPr="009A061B">
        <w:rPr>
          <w:iCs/>
          <w:lang w:val="fr-FR"/>
        </w:rPr>
        <w:t xml:space="preserve">. Il ne constitue pas une mutation et ne </w:t>
      </w:r>
      <w:r w:rsidR="00A25557">
        <w:rPr>
          <w:iCs/>
          <w:lang w:val="fr-FR"/>
        </w:rPr>
        <w:t>nécessite donc</w:t>
      </w:r>
      <w:r w:rsidRPr="009A061B">
        <w:rPr>
          <w:iCs/>
          <w:lang w:val="fr-FR"/>
        </w:rPr>
        <w:t xml:space="preserve"> ni l’agrément de l’Autorité des Marchés Financiers (« AMF ») ni une action spécifique de votre part. </w:t>
      </w:r>
    </w:p>
    <w:p w14:paraId="78BD3DAD" w14:textId="77777777" w:rsidR="00C265F3" w:rsidRDefault="00C265F3" w:rsidP="00C265F3">
      <w:pPr>
        <w:widowControl w:val="0"/>
        <w:tabs>
          <w:tab w:val="left" w:pos="5954"/>
        </w:tabs>
        <w:spacing w:after="0" w:line="240" w:lineRule="auto"/>
        <w:rPr>
          <w:lang w:val="fr-FR"/>
        </w:rPr>
      </w:pPr>
    </w:p>
    <w:p w14:paraId="0EF415FA" w14:textId="0898D1EC" w:rsidR="00C265F3" w:rsidRDefault="00C265F3" w:rsidP="00C265F3">
      <w:pPr>
        <w:widowControl w:val="0"/>
        <w:tabs>
          <w:tab w:val="left" w:pos="5954"/>
        </w:tabs>
        <w:spacing w:after="0" w:line="240" w:lineRule="auto"/>
        <w:jc w:val="both"/>
        <w:rPr>
          <w:lang w:val="fr-FR"/>
        </w:rPr>
      </w:pPr>
      <w:r>
        <w:rPr>
          <w:lang w:val="fr-FR"/>
        </w:rPr>
        <w:t>Nous attirons votre attention sur le fait que l</w:t>
      </w:r>
      <w:r>
        <w:rPr>
          <w:iCs/>
          <w:lang w:val="fr-FR"/>
        </w:rPr>
        <w:t xml:space="preserve">’ensemble de la documentation règlementaire </w:t>
      </w:r>
      <w:r w:rsidRPr="00455CBF">
        <w:rPr>
          <w:lang w:val="fr-FR"/>
        </w:rPr>
        <w:t>(</w:t>
      </w:r>
      <w:r>
        <w:rPr>
          <w:lang w:val="fr-FR"/>
        </w:rPr>
        <w:t>« </w:t>
      </w:r>
      <w:r w:rsidRPr="00455CBF">
        <w:rPr>
          <w:lang w:val="fr-FR"/>
        </w:rPr>
        <w:t>DIC</w:t>
      </w:r>
      <w:r>
        <w:rPr>
          <w:lang w:val="fr-FR"/>
        </w:rPr>
        <w:t> »</w:t>
      </w:r>
      <w:r w:rsidRPr="00455CBF">
        <w:rPr>
          <w:lang w:val="fr-FR"/>
        </w:rPr>
        <w:t xml:space="preserve"> et </w:t>
      </w:r>
      <w:r>
        <w:rPr>
          <w:lang w:val="fr-FR"/>
        </w:rPr>
        <w:t>p</w:t>
      </w:r>
      <w:r w:rsidRPr="00455CBF">
        <w:rPr>
          <w:lang w:val="fr-FR"/>
        </w:rPr>
        <w:t>rospectus</w:t>
      </w:r>
      <w:r>
        <w:rPr>
          <w:lang w:val="fr-FR"/>
        </w:rPr>
        <w:t>)</w:t>
      </w:r>
      <w:r w:rsidRPr="00455CBF">
        <w:rPr>
          <w:iCs/>
          <w:lang w:val="fr-FR"/>
        </w:rPr>
        <w:t xml:space="preserve"> </w:t>
      </w:r>
      <w:r>
        <w:rPr>
          <w:lang w:val="fr-FR"/>
        </w:rPr>
        <w:t xml:space="preserve">sera disponible </w:t>
      </w:r>
      <w:r w:rsidRPr="00455CBF">
        <w:rPr>
          <w:lang w:val="fr-FR"/>
        </w:rPr>
        <w:t>sur simple demande auprès de :</w:t>
      </w:r>
    </w:p>
    <w:p w14:paraId="44FBE2AC" w14:textId="77777777" w:rsidR="00C265F3" w:rsidRDefault="00C265F3" w:rsidP="00C265F3">
      <w:pPr>
        <w:widowControl w:val="0"/>
        <w:tabs>
          <w:tab w:val="left" w:pos="5954"/>
        </w:tabs>
        <w:spacing w:after="0" w:line="240" w:lineRule="auto"/>
        <w:rPr>
          <w:lang w:val="fr-FR"/>
        </w:rPr>
      </w:pPr>
    </w:p>
    <w:p w14:paraId="0E33CBEF" w14:textId="77777777" w:rsidR="00C265F3" w:rsidRPr="005F0E29" w:rsidRDefault="00C265F3" w:rsidP="00C265F3">
      <w:pPr>
        <w:pStyle w:val="Corpsdetexte"/>
        <w:widowControl w:val="0"/>
        <w:jc w:val="center"/>
        <w:rPr>
          <w:rFonts w:ascii="Times New Roman" w:hAnsi="Times New Roman"/>
          <w:bCs/>
          <w:i w:val="0"/>
          <w:szCs w:val="22"/>
        </w:rPr>
      </w:pPr>
      <w:r w:rsidRPr="005F0E29">
        <w:rPr>
          <w:bCs/>
          <w:i w:val="0"/>
          <w:szCs w:val="22"/>
        </w:rPr>
        <w:t>AXA INVESTMENT MANAGERS PARIS</w:t>
      </w:r>
    </w:p>
    <w:p w14:paraId="7423556E" w14:textId="77777777" w:rsidR="00C265F3" w:rsidRPr="00455CBF" w:rsidRDefault="00C265F3" w:rsidP="00C265F3">
      <w:pPr>
        <w:pStyle w:val="Corpsdetexte"/>
        <w:widowControl w:val="0"/>
        <w:jc w:val="center"/>
        <w:rPr>
          <w:b w:val="0"/>
          <w:i w:val="0"/>
          <w:szCs w:val="22"/>
        </w:rPr>
      </w:pPr>
      <w:r w:rsidRPr="00455CBF">
        <w:rPr>
          <w:b w:val="0"/>
          <w:i w:val="0"/>
          <w:szCs w:val="22"/>
        </w:rPr>
        <w:t>Tour Majunga – La Défense 9 –</w:t>
      </w:r>
    </w:p>
    <w:p w14:paraId="0A91535A" w14:textId="77777777" w:rsidR="00C265F3" w:rsidRPr="00455CBF" w:rsidRDefault="00C265F3" w:rsidP="00C265F3">
      <w:pPr>
        <w:pStyle w:val="Corpsdetexte"/>
        <w:widowControl w:val="0"/>
        <w:jc w:val="center"/>
        <w:rPr>
          <w:b w:val="0"/>
          <w:i w:val="0"/>
          <w:szCs w:val="22"/>
        </w:rPr>
      </w:pPr>
      <w:r w:rsidRPr="00455CBF">
        <w:rPr>
          <w:b w:val="0"/>
          <w:i w:val="0"/>
          <w:szCs w:val="22"/>
        </w:rPr>
        <w:t>6 place de la Pyramide</w:t>
      </w:r>
    </w:p>
    <w:p w14:paraId="043756E0" w14:textId="77777777" w:rsidR="00C265F3" w:rsidRPr="00455CBF" w:rsidRDefault="00C265F3" w:rsidP="00C265F3">
      <w:pPr>
        <w:pStyle w:val="Corpsdetexte"/>
        <w:widowControl w:val="0"/>
        <w:jc w:val="center"/>
        <w:rPr>
          <w:b w:val="0"/>
          <w:i w:val="0"/>
          <w:szCs w:val="22"/>
        </w:rPr>
      </w:pPr>
      <w:r>
        <w:rPr>
          <w:b w:val="0"/>
          <w:i w:val="0"/>
          <w:szCs w:val="22"/>
        </w:rPr>
        <w:t>92908 PARIS – La Défense C</w:t>
      </w:r>
      <w:r w:rsidRPr="00455CBF">
        <w:rPr>
          <w:b w:val="0"/>
          <w:i w:val="0"/>
          <w:szCs w:val="22"/>
        </w:rPr>
        <w:t>edex</w:t>
      </w:r>
    </w:p>
    <w:p w14:paraId="5A0C852C" w14:textId="77777777" w:rsidR="00C265F3" w:rsidRPr="00455CBF" w:rsidRDefault="00C265F3" w:rsidP="00C265F3">
      <w:pPr>
        <w:widowControl w:val="0"/>
        <w:tabs>
          <w:tab w:val="left" w:pos="5954"/>
        </w:tabs>
        <w:spacing w:after="0" w:line="240" w:lineRule="auto"/>
        <w:ind w:firstLine="708"/>
        <w:rPr>
          <w:rFonts w:ascii="Arial" w:hAnsi="Arial" w:cs="Arial"/>
          <w:b/>
          <w:lang w:val="fr-FR"/>
        </w:rPr>
      </w:pPr>
    </w:p>
    <w:p w14:paraId="2D5DD2DC" w14:textId="77777777" w:rsidR="00C265F3" w:rsidRDefault="00C265F3" w:rsidP="00C265F3">
      <w:pPr>
        <w:widowControl w:val="0"/>
        <w:tabs>
          <w:tab w:val="left" w:pos="5954"/>
        </w:tabs>
        <w:spacing w:after="0" w:line="240" w:lineRule="auto"/>
        <w:rPr>
          <w:lang w:val="fr-FR"/>
        </w:rPr>
      </w:pPr>
    </w:p>
    <w:p w14:paraId="036F0EA7" w14:textId="77777777" w:rsidR="00C265F3" w:rsidRDefault="00C265F3" w:rsidP="00C265F3">
      <w:pPr>
        <w:widowControl w:val="0"/>
        <w:tabs>
          <w:tab w:val="left" w:pos="5954"/>
        </w:tabs>
        <w:spacing w:after="0" w:line="240" w:lineRule="auto"/>
        <w:rPr>
          <w:lang w:val="fr-FR"/>
        </w:rPr>
      </w:pPr>
      <w:proofErr w:type="gramStart"/>
      <w:r w:rsidRPr="00455CBF">
        <w:rPr>
          <w:lang w:val="fr-FR"/>
        </w:rPr>
        <w:t>et</w:t>
      </w:r>
      <w:proofErr w:type="gramEnd"/>
      <w:r w:rsidRPr="00455CBF">
        <w:rPr>
          <w:lang w:val="fr-FR"/>
        </w:rPr>
        <w:t xml:space="preserve"> publiés sur notre site internet à l’adresse suivante :</w:t>
      </w:r>
      <w:r w:rsidRPr="00E24846">
        <w:rPr>
          <w:lang w:val="fr-FR"/>
        </w:rPr>
        <w:t xml:space="preserve"> </w:t>
      </w:r>
      <w:hyperlink r:id="rId7" w:history="1">
        <w:r w:rsidRPr="002C00A6">
          <w:rPr>
            <w:rStyle w:val="Lienhypertexte"/>
            <w:lang w:val="fr-FR"/>
          </w:rPr>
          <w:t>www.axa-im.com</w:t>
        </w:r>
      </w:hyperlink>
    </w:p>
    <w:p w14:paraId="5691D025" w14:textId="77777777" w:rsidR="00C265F3" w:rsidRDefault="00C265F3" w:rsidP="00C265F3">
      <w:pPr>
        <w:widowControl w:val="0"/>
        <w:tabs>
          <w:tab w:val="left" w:pos="5954"/>
        </w:tabs>
        <w:spacing w:after="0" w:line="240" w:lineRule="auto"/>
        <w:rPr>
          <w:rFonts w:asciiTheme="minorHAnsi" w:hAnsiTheme="minorHAnsi" w:cs="Arial"/>
          <w:lang w:val="fr-FR"/>
        </w:rPr>
      </w:pPr>
    </w:p>
    <w:p w14:paraId="32EAED1D" w14:textId="77777777" w:rsidR="00C265F3" w:rsidRPr="008F6858" w:rsidRDefault="00C265F3" w:rsidP="00C265F3">
      <w:pPr>
        <w:widowControl w:val="0"/>
        <w:tabs>
          <w:tab w:val="left" w:pos="5954"/>
        </w:tabs>
        <w:spacing w:after="0" w:line="240" w:lineRule="auto"/>
        <w:rPr>
          <w:rFonts w:asciiTheme="minorHAnsi" w:hAnsiTheme="minorHAnsi" w:cs="Arial"/>
          <w:lang w:val="fr-FR"/>
        </w:rPr>
      </w:pPr>
      <w:r w:rsidRPr="008F6858">
        <w:rPr>
          <w:rFonts w:asciiTheme="minorHAnsi" w:hAnsiTheme="minorHAnsi" w:cs="Arial"/>
          <w:lang w:val="fr-FR"/>
        </w:rPr>
        <w:t>Nous vous invitons à prendre contact avec votre correspondant habituel pour vous donner toutes les informations complémentaires que vous pourriez souhaiter.</w:t>
      </w:r>
    </w:p>
    <w:p w14:paraId="79974AEC" w14:textId="77777777" w:rsidR="00C265F3" w:rsidRPr="00455CBF" w:rsidRDefault="00C265F3" w:rsidP="00C265F3">
      <w:pPr>
        <w:widowControl w:val="0"/>
        <w:tabs>
          <w:tab w:val="left" w:pos="5954"/>
        </w:tabs>
        <w:spacing w:after="0" w:line="240" w:lineRule="auto"/>
        <w:rPr>
          <w:rFonts w:ascii="Arial" w:hAnsi="Arial" w:cs="Arial"/>
          <w:b/>
          <w:lang w:val="fr-FR"/>
        </w:rPr>
      </w:pPr>
    </w:p>
    <w:p w14:paraId="3C223453" w14:textId="77777777" w:rsidR="00C265F3" w:rsidRDefault="00C265F3" w:rsidP="00C265F3">
      <w:pPr>
        <w:pStyle w:val="Corpsdetexte"/>
        <w:widowControl w:val="0"/>
        <w:rPr>
          <w:rFonts w:ascii="Arial" w:hAnsi="Arial" w:cs="Arial"/>
          <w:b w:val="0"/>
          <w:sz w:val="18"/>
          <w:szCs w:val="18"/>
        </w:rPr>
      </w:pPr>
      <w:r w:rsidRPr="00455CBF">
        <w:rPr>
          <w:b w:val="0"/>
          <w:i w:val="0"/>
          <w:szCs w:val="22"/>
        </w:rPr>
        <w:t>Nous vous prions d’agréer, Madame, Monsieur, Chers Clients, l’expression de nos sincères salutations</w:t>
      </w:r>
    </w:p>
    <w:p w14:paraId="073E1FE9" w14:textId="77777777" w:rsidR="00C265F3" w:rsidRDefault="00C265F3" w:rsidP="00C265F3">
      <w:pPr>
        <w:widowControl w:val="0"/>
        <w:tabs>
          <w:tab w:val="left" w:pos="5954"/>
        </w:tabs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14:paraId="755AD341" w14:textId="77777777" w:rsidR="00C265F3" w:rsidRDefault="00C265F3" w:rsidP="00C265F3">
      <w:pPr>
        <w:widowControl w:val="0"/>
        <w:tabs>
          <w:tab w:val="left" w:pos="5954"/>
        </w:tabs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14:paraId="53491937" w14:textId="77777777" w:rsidR="00C265F3" w:rsidRPr="002A106B" w:rsidRDefault="00C265F3" w:rsidP="00E11E50">
      <w:pPr>
        <w:widowControl w:val="0"/>
        <w:tabs>
          <w:tab w:val="left" w:pos="5954"/>
        </w:tabs>
        <w:spacing w:after="0" w:line="240" w:lineRule="auto"/>
        <w:jc w:val="right"/>
        <w:rPr>
          <w:rFonts w:ascii="Arial" w:hAnsi="Arial" w:cs="Arial"/>
          <w:b/>
          <w:sz w:val="18"/>
          <w:szCs w:val="18"/>
          <w:lang w:val="fr-FR"/>
        </w:rPr>
      </w:pPr>
    </w:p>
    <w:p w14:paraId="36592F11" w14:textId="77777777" w:rsidR="00C265F3" w:rsidRPr="00E11E50" w:rsidRDefault="00C265F3" w:rsidP="00E11E50">
      <w:pPr>
        <w:widowControl w:val="0"/>
        <w:tabs>
          <w:tab w:val="left" w:pos="5954"/>
        </w:tabs>
        <w:spacing w:after="0" w:line="240" w:lineRule="auto"/>
        <w:ind w:firstLine="708"/>
        <w:jc w:val="right"/>
        <w:rPr>
          <w:b/>
          <w:szCs w:val="24"/>
          <w:lang w:val="fr-FR"/>
        </w:rPr>
      </w:pPr>
      <w:r w:rsidRPr="002A106B">
        <w:rPr>
          <w:rFonts w:ascii="Arial" w:hAnsi="Arial" w:cs="Arial"/>
          <w:b/>
          <w:sz w:val="18"/>
          <w:szCs w:val="18"/>
          <w:lang w:val="fr-FR"/>
        </w:rPr>
        <w:t xml:space="preserve">                                                                                         </w:t>
      </w:r>
      <w:r w:rsidRPr="00E11E50">
        <w:rPr>
          <w:b/>
          <w:szCs w:val="24"/>
          <w:lang w:val="fr-FR"/>
        </w:rPr>
        <w:t>AXA INVESTMENT MANAGERS PARIS</w:t>
      </w:r>
    </w:p>
    <w:p w14:paraId="1B898283" w14:textId="272FBDB2" w:rsidR="00DC3B1F" w:rsidRPr="00E11E50" w:rsidRDefault="00C265F3" w:rsidP="00E11E50">
      <w:pPr>
        <w:widowControl w:val="0"/>
        <w:tabs>
          <w:tab w:val="left" w:pos="5954"/>
        </w:tabs>
        <w:spacing w:after="0" w:line="240" w:lineRule="auto"/>
        <w:ind w:firstLine="708"/>
        <w:jc w:val="right"/>
        <w:rPr>
          <w:b/>
          <w:szCs w:val="24"/>
          <w:lang w:val="fr-FR"/>
        </w:rPr>
      </w:pPr>
      <w:r w:rsidRPr="00E11E50">
        <w:rPr>
          <w:b/>
          <w:szCs w:val="24"/>
          <w:lang w:val="fr-FR"/>
        </w:rPr>
        <w:t xml:space="preserve">                                                                                                 </w:t>
      </w:r>
      <w:bookmarkEnd w:id="0"/>
      <w:r w:rsidR="00E11E50">
        <w:rPr>
          <w:b/>
          <w:szCs w:val="24"/>
          <w:lang w:val="fr-FR"/>
        </w:rPr>
        <w:t>La société de gestion</w:t>
      </w:r>
    </w:p>
    <w:sectPr w:rsidR="00DC3B1F" w:rsidRPr="00E11E50" w:rsidSect="00687B69">
      <w:headerReference w:type="default" r:id="rId8"/>
      <w:headerReference w:type="first" r:id="rId9"/>
      <w:pgSz w:w="11906" w:h="16838" w:code="9"/>
      <w:pgMar w:top="2268" w:right="1134" w:bottom="1701" w:left="1134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E39B" w14:textId="77777777" w:rsidR="00AB3C14" w:rsidRDefault="00AB3C14" w:rsidP="00DC3B1F">
      <w:pPr>
        <w:spacing w:after="0" w:line="240" w:lineRule="auto"/>
      </w:pPr>
      <w:r>
        <w:separator/>
      </w:r>
    </w:p>
  </w:endnote>
  <w:endnote w:type="continuationSeparator" w:id="0">
    <w:p w14:paraId="38EA0392" w14:textId="77777777" w:rsidR="00AB3C14" w:rsidRDefault="00AB3C14" w:rsidP="00DC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A7A5" w14:textId="77777777" w:rsidR="00AB3C14" w:rsidRDefault="00AB3C14" w:rsidP="00DC3B1F">
      <w:pPr>
        <w:spacing w:after="0" w:line="240" w:lineRule="auto"/>
      </w:pPr>
      <w:r>
        <w:separator/>
      </w:r>
    </w:p>
  </w:footnote>
  <w:footnote w:type="continuationSeparator" w:id="0">
    <w:p w14:paraId="352B1A5C" w14:textId="77777777" w:rsidR="00AB3C14" w:rsidRDefault="00AB3C14" w:rsidP="00DC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83CE" w14:textId="77777777" w:rsidR="00775EB6" w:rsidRDefault="002A7F3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31898DA9" wp14:editId="050C59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95305"/>
          <wp:effectExtent l="0" t="0" r="254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C226" w14:textId="77777777" w:rsidR="00775EB6" w:rsidRDefault="00AD62BF" w:rsidP="00775EB6">
    <w:pPr>
      <w:pStyle w:val="En-tte"/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055D2882" wp14:editId="61E7BC52">
          <wp:simplePos x="0" y="0"/>
          <wp:positionH relativeFrom="column">
            <wp:posOffset>-720090</wp:posOffset>
          </wp:positionH>
          <wp:positionV relativeFrom="paragraph">
            <wp:posOffset>-1080745</wp:posOffset>
          </wp:positionV>
          <wp:extent cx="7560000" cy="10692000"/>
          <wp:effectExtent l="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TMP_AXA IM PA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EE102" w14:textId="1CA70071" w:rsidR="00775EB6" w:rsidRPr="00775EB6" w:rsidRDefault="00775EB6" w:rsidP="00775E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1F"/>
    <w:rsid w:val="00087644"/>
    <w:rsid w:val="00115D49"/>
    <w:rsid w:val="001B2648"/>
    <w:rsid w:val="00216F63"/>
    <w:rsid w:val="00233CA6"/>
    <w:rsid w:val="00275805"/>
    <w:rsid w:val="002836D7"/>
    <w:rsid w:val="002A7F3E"/>
    <w:rsid w:val="003D3D1B"/>
    <w:rsid w:val="00414B4E"/>
    <w:rsid w:val="00524C7F"/>
    <w:rsid w:val="00563564"/>
    <w:rsid w:val="00592275"/>
    <w:rsid w:val="00616D76"/>
    <w:rsid w:val="006201AB"/>
    <w:rsid w:val="00643C9E"/>
    <w:rsid w:val="00687B69"/>
    <w:rsid w:val="006A5EFD"/>
    <w:rsid w:val="00755C45"/>
    <w:rsid w:val="00775EB6"/>
    <w:rsid w:val="0078589B"/>
    <w:rsid w:val="00793B1E"/>
    <w:rsid w:val="0088277C"/>
    <w:rsid w:val="008C17D2"/>
    <w:rsid w:val="008C31E2"/>
    <w:rsid w:val="008E05D9"/>
    <w:rsid w:val="008E16DC"/>
    <w:rsid w:val="00A1722C"/>
    <w:rsid w:val="00A25557"/>
    <w:rsid w:val="00A46041"/>
    <w:rsid w:val="00A47F3D"/>
    <w:rsid w:val="00AB1B72"/>
    <w:rsid w:val="00AB3C14"/>
    <w:rsid w:val="00AD62BF"/>
    <w:rsid w:val="00B1440E"/>
    <w:rsid w:val="00BE58D7"/>
    <w:rsid w:val="00C265F3"/>
    <w:rsid w:val="00CF6237"/>
    <w:rsid w:val="00D04202"/>
    <w:rsid w:val="00D82395"/>
    <w:rsid w:val="00D921B0"/>
    <w:rsid w:val="00DC3B1F"/>
    <w:rsid w:val="00E11E50"/>
    <w:rsid w:val="00E33606"/>
    <w:rsid w:val="00F23CF7"/>
    <w:rsid w:val="00F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330CA08"/>
  <w15:docId w15:val="{C3CCC346-6DF2-473E-812E-7C7121BF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3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B1F"/>
  </w:style>
  <w:style w:type="paragraph" w:styleId="Pieddepage">
    <w:name w:val="footer"/>
    <w:basedOn w:val="Normal"/>
    <w:link w:val="PieddepageCar"/>
    <w:uiPriority w:val="99"/>
    <w:unhideWhenUsed/>
    <w:rsid w:val="00DC3B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B1F"/>
  </w:style>
  <w:style w:type="paragraph" w:styleId="Textedebulles">
    <w:name w:val="Balloon Text"/>
    <w:basedOn w:val="Normal"/>
    <w:link w:val="TextedebullesCar"/>
    <w:uiPriority w:val="99"/>
    <w:semiHidden/>
    <w:unhideWhenUsed/>
    <w:rsid w:val="0077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75EB6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C265F3"/>
    <w:rPr>
      <w:color w:val="0000FF"/>
      <w:u w:val="single"/>
    </w:rPr>
  </w:style>
  <w:style w:type="character" w:customStyle="1" w:styleId="CorpsdetexteCar">
    <w:name w:val="Corps de texte Car"/>
    <w:aliases w:val="b Car"/>
    <w:basedOn w:val="Policepardfaut"/>
    <w:link w:val="Corpsdetexte"/>
    <w:locked/>
    <w:rsid w:val="00C265F3"/>
    <w:rPr>
      <w:b/>
      <w:i/>
      <w:sz w:val="22"/>
    </w:rPr>
  </w:style>
  <w:style w:type="paragraph" w:styleId="Corpsdetexte">
    <w:name w:val="Body Text"/>
    <w:aliases w:val="b"/>
    <w:basedOn w:val="Normal"/>
    <w:link w:val="CorpsdetexteCar"/>
    <w:unhideWhenUsed/>
    <w:rsid w:val="00C265F3"/>
    <w:pPr>
      <w:spacing w:after="0" w:line="240" w:lineRule="auto"/>
      <w:jc w:val="both"/>
    </w:pPr>
    <w:rPr>
      <w:b/>
      <w:i/>
      <w:szCs w:val="20"/>
      <w:lang w:val="fr-FR" w:eastAsia="fr-FR"/>
    </w:rPr>
  </w:style>
  <w:style w:type="character" w:customStyle="1" w:styleId="CorpsdetexteCar1">
    <w:name w:val="Corps de texte Car1"/>
    <w:basedOn w:val="Policepardfaut"/>
    <w:uiPriority w:val="99"/>
    <w:semiHidden/>
    <w:rsid w:val="00C265F3"/>
    <w:rPr>
      <w:sz w:val="22"/>
      <w:szCs w:val="22"/>
      <w:lang w:val="en-GB" w:eastAsia="en-US"/>
    </w:rPr>
  </w:style>
  <w:style w:type="paragraph" w:styleId="Rvision">
    <w:name w:val="Revision"/>
    <w:hidden/>
    <w:uiPriority w:val="99"/>
    <w:semiHidden/>
    <w:rsid w:val="00CF623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xa-i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AXAIM2018">
      <a:dk1>
        <a:sysClr val="windowText" lastClr="000000"/>
      </a:dk1>
      <a:lt1>
        <a:sysClr val="window" lastClr="FFFFFF"/>
      </a:lt1>
      <a:dk2>
        <a:srgbClr val="00008F"/>
      </a:dk2>
      <a:lt2>
        <a:srgbClr val="C1D100"/>
      </a:lt2>
      <a:accent1>
        <a:srgbClr val="027180"/>
      </a:accent1>
      <a:accent2>
        <a:srgbClr val="E196AA"/>
      </a:accent2>
      <a:accent3>
        <a:srgbClr val="00AEC6"/>
      </a:accent3>
      <a:accent4>
        <a:srgbClr val="862567"/>
      </a:accent4>
      <a:accent5>
        <a:srgbClr val="DE6106"/>
      </a:accent5>
      <a:accent6>
        <a:srgbClr val="B5D0EE"/>
      </a:accent6>
      <a:hlink>
        <a:srgbClr val="00008F"/>
      </a:hlink>
      <a:folHlink>
        <a:srgbClr val="BFBFBF"/>
      </a:folHlink>
    </a:clrScheme>
    <a:fontScheme name="AXA IM New 2017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CE4A-9CC1-41A9-A97E-ABF3D003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1726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AXA-IM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Rosenberg</dc:creator>
  <cp:lastModifiedBy>VALLET Marion</cp:lastModifiedBy>
  <cp:revision>4</cp:revision>
  <cp:lastPrinted>2017-11-17T09:21:00Z</cp:lastPrinted>
  <dcterms:created xsi:type="dcterms:W3CDTF">2024-11-18T09:44:00Z</dcterms:created>
  <dcterms:modified xsi:type="dcterms:W3CDTF">2024-11-18T09:44:00Z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c5eb01-6c52-498f-929d-e1fdfbfe94b7_Enabled">
    <vt:lpwstr>true</vt:lpwstr>
  </property>
  <property fmtid="{D5CDD505-2E9C-101B-9397-08002B2CF9AE}" pid="3" name="MSIP_Label_d4c5eb01-6c52-498f-929d-e1fdfbfe94b7_SetDate">
    <vt:lpwstr>2020-12-03T17:25:17Z</vt:lpwstr>
  </property>
  <property fmtid="{D5CDD505-2E9C-101B-9397-08002B2CF9AE}" pid="4" name="MSIP_Label_d4c5eb01-6c52-498f-929d-e1fdfbfe94b7_Method">
    <vt:lpwstr>Privileged</vt:lpwstr>
  </property>
  <property fmtid="{D5CDD505-2E9C-101B-9397-08002B2CF9AE}" pid="5" name="MSIP_Label_d4c5eb01-6c52-498f-929d-e1fdfbfe94b7_Name">
    <vt:lpwstr>PUBLIC</vt:lpwstr>
  </property>
  <property fmtid="{D5CDD505-2E9C-101B-9397-08002B2CF9AE}" pid="6" name="MSIP_Label_d4c5eb01-6c52-498f-929d-e1fdfbfe94b7_SiteId">
    <vt:lpwstr>85f3dce2-9de5-43ba-8d73-76ef63954d34</vt:lpwstr>
  </property>
  <property fmtid="{D5CDD505-2E9C-101B-9397-08002B2CF9AE}" pid="7" name="MSIP_Label_d4c5eb01-6c52-498f-929d-e1fdfbfe94b7_ActionId">
    <vt:lpwstr>aeb4fb15-9fdf-44bf-a578-0000a00bd63f</vt:lpwstr>
  </property>
  <property fmtid="{D5CDD505-2E9C-101B-9397-08002B2CF9AE}" pid="8" name="MSIP_Label_d4c5eb01-6c52-498f-929d-e1fdfbfe94b7_ContentBits">
    <vt:lpwstr>0</vt:lpwstr>
  </property>
</Properties>
</file>